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3F" w:rsidRPr="001D06C4" w:rsidRDefault="00BE6B3F" w:rsidP="00BE6B3F">
      <w:pPr>
        <w:rPr>
          <w:rFonts w:ascii="Verdana" w:hAnsi="Verdana" w:cs="Times New Roman"/>
          <w:b/>
        </w:rPr>
      </w:pPr>
      <w:bookmarkStart w:id="0" w:name="_GoBack"/>
      <w:bookmarkEnd w:id="0"/>
      <w:r w:rsidRPr="001D06C4">
        <w:rPr>
          <w:rFonts w:ascii="Verdana" w:eastAsiaTheme="majorEastAsia" w:hAnsi="Verdana" w:cstheme="majorBidi"/>
          <w:color w:val="2E74B5" w:themeColor="accent1" w:themeShade="BF"/>
        </w:rPr>
        <w:t>Supp</w:t>
      </w:r>
      <w:r w:rsidR="00A71CF2" w:rsidRPr="001D06C4">
        <w:rPr>
          <w:rFonts w:ascii="Verdana" w:eastAsiaTheme="majorEastAsia" w:hAnsi="Verdana" w:cstheme="majorBidi"/>
          <w:color w:val="2E74B5" w:themeColor="accent1" w:themeShade="BF"/>
        </w:rPr>
        <w:t>lementary</w:t>
      </w:r>
      <w:r w:rsidRPr="001D06C4">
        <w:rPr>
          <w:rFonts w:ascii="Verdana" w:eastAsiaTheme="majorEastAsia" w:hAnsi="Verdana" w:cstheme="majorBidi"/>
          <w:color w:val="2E74B5" w:themeColor="accent1" w:themeShade="BF"/>
        </w:rPr>
        <w:t xml:space="preserve"> </w:t>
      </w:r>
      <w:r w:rsidR="00A71CF2" w:rsidRPr="001D06C4">
        <w:rPr>
          <w:rFonts w:ascii="Verdana" w:eastAsiaTheme="majorEastAsia" w:hAnsi="Verdana" w:cstheme="majorBidi"/>
          <w:color w:val="2E74B5" w:themeColor="accent1" w:themeShade="BF"/>
        </w:rPr>
        <w:t>file</w:t>
      </w:r>
    </w:p>
    <w:p w:rsidR="00BE6B3F" w:rsidRPr="001D06C4" w:rsidRDefault="00BE6B3F" w:rsidP="00BE6B3F">
      <w:pPr>
        <w:pStyle w:val="NoSpacing"/>
        <w:rPr>
          <w:rFonts w:ascii="Verdana" w:hAnsi="Verdana"/>
          <w:b/>
        </w:rPr>
      </w:pPr>
      <w:r w:rsidRPr="001D06C4">
        <w:rPr>
          <w:rFonts w:ascii="Verdana" w:hAnsi="Verdana"/>
          <w:b/>
        </w:rPr>
        <w:t>Recurrent back pain during working life and exit from paid employment: a 28-year follow-up of the Whitehall II study</w:t>
      </w:r>
    </w:p>
    <w:p w:rsidR="00BE6B3F" w:rsidRPr="001D06C4" w:rsidRDefault="00BE6B3F" w:rsidP="00BE6B3F">
      <w:pPr>
        <w:pStyle w:val="NoSpacing"/>
        <w:rPr>
          <w:rFonts w:ascii="Verdana" w:hAnsi="Verdana"/>
          <w:b/>
        </w:rPr>
      </w:pPr>
    </w:p>
    <w:p w:rsidR="00BE6B3F" w:rsidRPr="001D06C4" w:rsidRDefault="00BE6B3F" w:rsidP="00BE6B3F">
      <w:pPr>
        <w:pStyle w:val="NoSpacing"/>
        <w:rPr>
          <w:rFonts w:ascii="Verdana" w:hAnsi="Verdana"/>
        </w:rPr>
      </w:pPr>
      <w:r w:rsidRPr="001D06C4">
        <w:rPr>
          <w:rFonts w:ascii="Verdana" w:hAnsi="Verdana"/>
          <w:b/>
        </w:rPr>
        <w:t>Running head:</w:t>
      </w:r>
      <w:r w:rsidRPr="001D06C4">
        <w:rPr>
          <w:rFonts w:ascii="Verdana" w:hAnsi="Verdana"/>
        </w:rPr>
        <w:t xml:space="preserve"> Recurrent pain and exit from paid employment</w:t>
      </w:r>
    </w:p>
    <w:p w:rsidR="00BE6B3F" w:rsidRPr="001D06C4" w:rsidRDefault="00BE6B3F" w:rsidP="00BE6B3F">
      <w:pPr>
        <w:pStyle w:val="NoSpacing"/>
        <w:rPr>
          <w:rFonts w:ascii="Verdana" w:hAnsi="Verdana"/>
        </w:rPr>
      </w:pPr>
    </w:p>
    <w:p w:rsidR="00BE6B3F" w:rsidRPr="001D06C4" w:rsidRDefault="00BE6B3F" w:rsidP="00BE6B3F">
      <w:pPr>
        <w:pStyle w:val="NoSpacing"/>
        <w:rPr>
          <w:rFonts w:ascii="Verdana" w:hAnsi="Verdana"/>
        </w:rPr>
      </w:pPr>
      <w:r w:rsidRPr="001D06C4">
        <w:rPr>
          <w:rFonts w:ascii="Verdana" w:hAnsi="Verdana"/>
        </w:rPr>
        <w:t>Tea Lallukka,</w:t>
      </w:r>
      <w:r w:rsidRPr="001D06C4">
        <w:rPr>
          <w:rFonts w:ascii="Verdana" w:hAnsi="Verdana"/>
          <w:vertAlign w:val="superscript"/>
        </w:rPr>
        <w:t>1,2</w:t>
      </w:r>
      <w:r w:rsidRPr="001D06C4">
        <w:rPr>
          <w:rFonts w:ascii="Verdana" w:hAnsi="Verdana"/>
        </w:rPr>
        <w:t xml:space="preserve"> Minna Mänty,</w:t>
      </w:r>
      <w:r w:rsidRPr="001D06C4">
        <w:rPr>
          <w:rFonts w:ascii="Verdana" w:hAnsi="Verdana"/>
          <w:vertAlign w:val="superscript"/>
        </w:rPr>
        <w:t>2,3</w:t>
      </w:r>
      <w:r w:rsidRPr="001D06C4">
        <w:rPr>
          <w:rFonts w:ascii="Verdana" w:hAnsi="Verdana"/>
        </w:rPr>
        <w:t xml:space="preserve"> Cyrus Cooper,</w:t>
      </w:r>
      <w:r w:rsidRPr="001D06C4">
        <w:rPr>
          <w:rFonts w:ascii="Verdana" w:hAnsi="Verdana"/>
          <w:vertAlign w:val="superscript"/>
        </w:rPr>
        <w:t>4,5</w:t>
      </w:r>
      <w:r w:rsidRPr="001D06C4">
        <w:rPr>
          <w:rFonts w:ascii="Verdana" w:hAnsi="Verdana"/>
        </w:rPr>
        <w:t xml:space="preserve"> Maria Fleischmann,</w:t>
      </w:r>
      <w:r w:rsidRPr="001D06C4">
        <w:rPr>
          <w:rFonts w:ascii="Verdana" w:hAnsi="Verdana"/>
          <w:vertAlign w:val="superscript"/>
        </w:rPr>
        <w:t>6</w:t>
      </w:r>
      <w:r w:rsidRPr="001D06C4">
        <w:rPr>
          <w:rFonts w:ascii="Verdana" w:hAnsi="Verdana"/>
        </w:rPr>
        <w:t xml:space="preserve"> Anne Kouvonen,</w:t>
      </w:r>
      <w:r w:rsidRPr="001D06C4">
        <w:rPr>
          <w:rFonts w:ascii="Verdana" w:hAnsi="Verdana"/>
          <w:vertAlign w:val="superscript"/>
        </w:rPr>
        <w:t>7-9</w:t>
      </w:r>
      <w:r w:rsidRPr="001D06C4">
        <w:rPr>
          <w:rFonts w:ascii="Verdana" w:hAnsi="Verdana"/>
        </w:rPr>
        <w:t xml:space="preserve"> Karen E Walker-Bone, </w:t>
      </w:r>
      <w:r w:rsidRPr="001D06C4">
        <w:rPr>
          <w:rFonts w:ascii="Verdana" w:hAnsi="Verdana"/>
          <w:vertAlign w:val="superscript"/>
        </w:rPr>
        <w:t>10</w:t>
      </w:r>
      <w:r w:rsidRPr="001D06C4">
        <w:rPr>
          <w:rFonts w:ascii="Verdana" w:hAnsi="Verdana"/>
        </w:rPr>
        <w:t xml:space="preserve"> Jenny Head</w:t>
      </w:r>
      <w:r w:rsidR="00C85C54" w:rsidRPr="001D06C4">
        <w:rPr>
          <w:rFonts w:ascii="Verdana" w:hAnsi="Verdana"/>
        </w:rPr>
        <w:t>,</w:t>
      </w:r>
      <w:r w:rsidRPr="001D06C4">
        <w:rPr>
          <w:rFonts w:ascii="Verdana" w:hAnsi="Verdana"/>
          <w:vertAlign w:val="superscript"/>
        </w:rPr>
        <w:t>6</w:t>
      </w:r>
      <w:r w:rsidRPr="001D06C4">
        <w:rPr>
          <w:rFonts w:ascii="Verdana" w:hAnsi="Verdana"/>
        </w:rPr>
        <w:t xml:space="preserve"> Jaana I Halonen</w:t>
      </w:r>
      <w:r w:rsidRPr="001D06C4">
        <w:rPr>
          <w:rFonts w:ascii="Verdana" w:hAnsi="Verdana"/>
          <w:vertAlign w:val="superscript"/>
        </w:rPr>
        <w:t>1</w:t>
      </w:r>
    </w:p>
    <w:p w:rsidR="00BE6B3F" w:rsidRPr="001D06C4" w:rsidRDefault="00BE6B3F" w:rsidP="00BE6B3F">
      <w:pPr>
        <w:pStyle w:val="NoSpacing"/>
        <w:rPr>
          <w:rFonts w:ascii="Verdana" w:hAnsi="Verdana"/>
          <w:vertAlign w:val="superscript"/>
        </w:rPr>
      </w:pPr>
    </w:p>
    <w:p w:rsidR="000202C0" w:rsidRPr="000202C0" w:rsidRDefault="000202C0" w:rsidP="000202C0">
      <w:pPr>
        <w:spacing w:after="0" w:line="240" w:lineRule="auto"/>
        <w:rPr>
          <w:rFonts w:ascii="Verdana" w:hAnsi="Verdana"/>
          <w:vertAlign w:val="superscript"/>
        </w:rPr>
      </w:pP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1</w:t>
      </w:r>
      <w:proofErr w:type="gramEnd"/>
      <w:r w:rsidRPr="000202C0">
        <w:rPr>
          <w:rFonts w:ascii="Verdana" w:hAnsi="Verdana"/>
        </w:rPr>
        <w:t xml:space="preserve"> Finnish Institute of Occupational Health, Helsinki &amp; Kuopio, Finland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2</w:t>
      </w:r>
      <w:proofErr w:type="gramEnd"/>
      <w:r w:rsidRPr="000202C0">
        <w:rPr>
          <w:rFonts w:ascii="Verdana" w:hAnsi="Verdana"/>
        </w:rPr>
        <w:t xml:space="preserve"> Department of Public Health, University of Helsinki, Helsinki, Finland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3</w:t>
      </w:r>
      <w:proofErr w:type="gramEnd"/>
      <w:r w:rsidRPr="000202C0">
        <w:rPr>
          <w:rFonts w:ascii="Verdana" w:hAnsi="Verdana"/>
        </w:rPr>
        <w:t xml:space="preserve"> Department of Research, Development and Innovation (RDI), </w:t>
      </w:r>
      <w:proofErr w:type="spellStart"/>
      <w:r w:rsidRPr="000202C0">
        <w:rPr>
          <w:rFonts w:ascii="Verdana" w:hAnsi="Verdana"/>
        </w:rPr>
        <w:t>Laurea</w:t>
      </w:r>
      <w:proofErr w:type="spellEnd"/>
      <w:r w:rsidRPr="000202C0">
        <w:rPr>
          <w:rFonts w:ascii="Verdana" w:hAnsi="Verdana"/>
        </w:rPr>
        <w:t xml:space="preserve"> University of Applied Sciences, Vantaa, Finland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4</w:t>
      </w:r>
      <w:proofErr w:type="gramEnd"/>
      <w:r w:rsidRPr="000202C0">
        <w:rPr>
          <w:rFonts w:ascii="Verdana" w:hAnsi="Verdana"/>
        </w:rPr>
        <w:t xml:space="preserve"> MRC </w:t>
      </w:r>
      <w:proofErr w:type="spellStart"/>
      <w:r w:rsidRPr="000202C0">
        <w:rPr>
          <w:rFonts w:ascii="Verdana" w:hAnsi="Verdana"/>
        </w:rPr>
        <w:t>Lifecourse</w:t>
      </w:r>
      <w:proofErr w:type="spellEnd"/>
      <w:r w:rsidRPr="000202C0">
        <w:rPr>
          <w:rFonts w:ascii="Verdana" w:hAnsi="Verdana"/>
        </w:rPr>
        <w:t xml:space="preserve"> Epidemiology Unit, University of Southampton, UK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5</w:t>
      </w:r>
      <w:proofErr w:type="gramEnd"/>
      <w:r w:rsidRPr="000202C0">
        <w:rPr>
          <w:rFonts w:ascii="Verdana" w:hAnsi="Verdana"/>
          <w:vertAlign w:val="superscript"/>
        </w:rPr>
        <w:t xml:space="preserve"> </w:t>
      </w:r>
      <w:r w:rsidRPr="000202C0">
        <w:rPr>
          <w:rFonts w:ascii="Verdana" w:hAnsi="Verdana"/>
        </w:rPr>
        <w:t>NIHR Musculoskeletal Biomedical Research Unit, University of Oxford, Oxford, UK.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6</w:t>
      </w:r>
      <w:proofErr w:type="gramEnd"/>
      <w:r w:rsidRPr="000202C0">
        <w:rPr>
          <w:rFonts w:ascii="Verdana" w:hAnsi="Verdana"/>
        </w:rPr>
        <w:t xml:space="preserve"> Department of Epidemiology and Public Health, University College London, London, UK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7</w:t>
      </w:r>
      <w:proofErr w:type="gramEnd"/>
      <w:r w:rsidRPr="000202C0">
        <w:rPr>
          <w:rFonts w:ascii="Verdana" w:hAnsi="Verdana"/>
        </w:rPr>
        <w:t xml:space="preserve"> Faculty of Social Sciences, University of Helsinki, Helsinki, Finland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8</w:t>
      </w:r>
      <w:proofErr w:type="gramEnd"/>
      <w:r w:rsidRPr="000202C0">
        <w:rPr>
          <w:rFonts w:ascii="Verdana" w:hAnsi="Verdana"/>
        </w:rPr>
        <w:t xml:space="preserve"> SWPS University of Social Sciences and Humanities in Wroclaw, Wroclaw, Poland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9</w:t>
      </w:r>
      <w:proofErr w:type="gramEnd"/>
      <w:r w:rsidRPr="000202C0">
        <w:rPr>
          <w:rFonts w:ascii="Verdana" w:hAnsi="Verdana"/>
        </w:rPr>
        <w:t xml:space="preserve"> UKCRC Centre of Excellence for Public Health, Queen’s University Belfast, Belfast, UK</w:t>
      </w:r>
    </w:p>
    <w:p w:rsidR="000202C0" w:rsidRPr="000202C0" w:rsidRDefault="000202C0" w:rsidP="000202C0">
      <w:pPr>
        <w:spacing w:after="0" w:line="240" w:lineRule="auto"/>
        <w:rPr>
          <w:rFonts w:ascii="Verdana" w:hAnsi="Verdana"/>
        </w:rPr>
      </w:pPr>
      <w:proofErr w:type="gramStart"/>
      <w:r w:rsidRPr="000202C0">
        <w:rPr>
          <w:rFonts w:ascii="Verdana" w:hAnsi="Verdana"/>
          <w:vertAlign w:val="superscript"/>
        </w:rPr>
        <w:t>10</w:t>
      </w:r>
      <w:proofErr w:type="gramEnd"/>
      <w:r w:rsidRPr="000202C0">
        <w:rPr>
          <w:rFonts w:ascii="Verdana" w:hAnsi="Verdana"/>
        </w:rPr>
        <w:t xml:space="preserve"> Arthritis Research UK/MRC Centre for Musculoskeletal Health and Work, University of Southampton, Southampton, UK</w:t>
      </w:r>
    </w:p>
    <w:p w:rsidR="00BE6B3F" w:rsidRPr="001D06C4" w:rsidRDefault="00BE6B3F" w:rsidP="00BE6B3F">
      <w:pPr>
        <w:pStyle w:val="NoSpacing"/>
        <w:rPr>
          <w:rFonts w:ascii="Verdana" w:hAnsi="Verdana"/>
        </w:rPr>
      </w:pPr>
    </w:p>
    <w:p w:rsidR="00BE6B3F" w:rsidRPr="001D06C4" w:rsidRDefault="00BE6B3F" w:rsidP="00BE6B3F">
      <w:pPr>
        <w:pStyle w:val="NoSpacing"/>
        <w:rPr>
          <w:rFonts w:ascii="Verdana" w:hAnsi="Verdana" w:cs="Times New Roman"/>
          <w:b/>
        </w:rPr>
        <w:sectPr w:rsidR="00BE6B3F" w:rsidRPr="001D06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E6B3F" w:rsidRPr="001D06C4" w:rsidRDefault="00BE6B3F" w:rsidP="00BE6B3F">
      <w:pPr>
        <w:rPr>
          <w:rFonts w:ascii="Verdana" w:hAnsi="Verdana" w:cs="Times New Roman"/>
        </w:rPr>
      </w:pPr>
      <w:r w:rsidRPr="001D06C4">
        <w:rPr>
          <w:rFonts w:ascii="Verdana" w:hAnsi="Verdana" w:cs="Times New Roman"/>
          <w:b/>
        </w:rPr>
        <w:lastRenderedPageBreak/>
        <w:t>Table S1</w:t>
      </w:r>
      <w:r w:rsidRPr="001D06C4">
        <w:rPr>
          <w:rFonts w:ascii="Verdana" w:hAnsi="Verdana" w:cs="Times New Roman"/>
        </w:rPr>
        <w:t xml:space="preserve">. Cumulative odds ratios (CORs, 95% confidence intervals) for back pain by baseline covariates.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716"/>
        <w:gridCol w:w="716"/>
        <w:gridCol w:w="716"/>
        <w:gridCol w:w="716"/>
        <w:gridCol w:w="716"/>
        <w:gridCol w:w="716"/>
      </w:tblGrid>
      <w:tr w:rsidR="00BE6B3F" w:rsidRPr="001D06C4" w:rsidTr="001F6130">
        <w:tc>
          <w:tcPr>
            <w:tcW w:w="0" w:type="auto"/>
            <w:tcBorders>
              <w:bottom w:val="nil"/>
            </w:tcBorders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Women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Men</w:t>
            </w:r>
          </w:p>
        </w:tc>
      </w:tr>
      <w:tr w:rsidR="00BE6B3F" w:rsidRPr="001D06C4" w:rsidTr="001F6130"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COR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COR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95% CI</w:t>
            </w:r>
          </w:p>
        </w:tc>
      </w:tr>
      <w:tr w:rsidR="00BE6B3F" w:rsidRPr="001D06C4" w:rsidTr="001F6130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Age (years)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35-39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40-49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1.46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1.24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≥50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1.09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1.61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1.29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Occupational grade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bCs/>
                <w:color w:val="000000"/>
              </w:rPr>
              <w:t>High (Administrative)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bCs/>
                <w:color w:val="000000"/>
              </w:rPr>
              <w:t>Middle (Professionals/ executive)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1.53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1.95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1.04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1.29</w:t>
            </w: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bCs/>
                <w:color w:val="000000"/>
              </w:rPr>
              <w:t>Low (Clerical/ support)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1.88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1.48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2.39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1.40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Parents’ education 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High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Intermediate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1.76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1.36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Low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1.57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1.33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Body mass index 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Recommended weight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Overweight or obese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1.14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1.52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1.17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Job control 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High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 xml:space="preserve">  Low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1.44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1.22</w:t>
            </w: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Job demands 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BE6B3F" w:rsidRPr="001D06C4" w:rsidRDefault="00BE6B3F" w:rsidP="001F6130">
            <w:pPr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  Low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</w:p>
        </w:tc>
      </w:tr>
      <w:tr w:rsidR="00BE6B3F" w:rsidRPr="001D06C4" w:rsidTr="001F6130">
        <w:tc>
          <w:tcPr>
            <w:tcW w:w="0" w:type="auto"/>
            <w:vAlign w:val="bottom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  High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1.19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1.03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keepNext/>
              <w:adjustRightInd w:val="0"/>
              <w:jc w:val="center"/>
              <w:rPr>
                <w:rFonts w:ascii="Verdana" w:hAnsi="Verdana" w:cs="Times New Roman"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1.14</w:t>
            </w:r>
          </w:p>
        </w:tc>
      </w:tr>
    </w:tbl>
    <w:p w:rsidR="00BE6B3F" w:rsidRPr="001D06C4" w:rsidRDefault="00BE6B3F" w:rsidP="00BE6B3F">
      <w:pPr>
        <w:spacing w:after="0" w:line="240" w:lineRule="auto"/>
        <w:rPr>
          <w:rFonts w:ascii="Verdana" w:hAnsi="Verdana" w:cs="Times New Roman"/>
        </w:rPr>
      </w:pPr>
      <w:r w:rsidRPr="001D06C4">
        <w:rPr>
          <w:rFonts w:ascii="Verdana" w:hAnsi="Verdana" w:cs="Times New Roman"/>
        </w:rPr>
        <w:br w:type="page"/>
      </w:r>
    </w:p>
    <w:p w:rsidR="00BE6B3F" w:rsidRPr="001D06C4" w:rsidRDefault="00BE6B3F" w:rsidP="00BE6B3F">
      <w:pPr>
        <w:spacing w:after="0" w:line="240" w:lineRule="auto"/>
        <w:rPr>
          <w:rFonts w:ascii="Verdana" w:hAnsi="Verdana" w:cs="Times New Roman"/>
        </w:rPr>
        <w:sectPr w:rsidR="00BE6B3F" w:rsidRPr="001D06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E6B3F" w:rsidRPr="001D06C4" w:rsidRDefault="00BE6B3F" w:rsidP="00BE6B3F">
      <w:pPr>
        <w:rPr>
          <w:rFonts w:ascii="Verdana" w:hAnsi="Verdana" w:cs="Times New Roman"/>
          <w:b/>
        </w:rPr>
      </w:pPr>
      <w:r w:rsidRPr="001D06C4">
        <w:rPr>
          <w:rFonts w:ascii="Verdana" w:hAnsi="Verdana" w:cs="Times New Roman"/>
          <w:b/>
        </w:rPr>
        <w:lastRenderedPageBreak/>
        <w:t xml:space="preserve">Table S2. </w:t>
      </w:r>
      <w:r w:rsidRPr="001D06C4">
        <w:rPr>
          <w:rFonts w:ascii="Verdana" w:hAnsi="Verdana" w:cs="Times New Roman"/>
        </w:rPr>
        <w:t xml:space="preserve">Odds ratios for exit from the paid employment due to any cause, health reasons, non-health related exit and other exit by history of back pain.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716"/>
        <w:gridCol w:w="716"/>
        <w:gridCol w:w="716"/>
        <w:gridCol w:w="716"/>
        <w:gridCol w:w="716"/>
        <w:gridCol w:w="716"/>
      </w:tblGrid>
      <w:tr w:rsidR="00BE6B3F" w:rsidRPr="001D06C4" w:rsidTr="001F6130">
        <w:tc>
          <w:tcPr>
            <w:tcW w:w="0" w:type="auto"/>
            <w:tcBorders>
              <w:bottom w:val="nil"/>
            </w:tcBorders>
          </w:tcPr>
          <w:p w:rsidR="00BE6B3F" w:rsidRPr="001D06C4" w:rsidRDefault="00BE6B3F" w:rsidP="001F6130">
            <w:pPr>
              <w:rPr>
                <w:rFonts w:ascii="Verdana" w:hAnsi="Verdana" w:cs="Times New Roman"/>
                <w:b/>
                <w:color w:val="FF0000"/>
              </w:rPr>
            </w:pPr>
            <w:r w:rsidRPr="001D06C4">
              <w:rPr>
                <w:rFonts w:ascii="Verdana" w:hAnsi="Verdana" w:cs="Times New Roman"/>
                <w:b/>
              </w:rPr>
              <w:t>Number of phases reported back pain</w:t>
            </w:r>
          </w:p>
        </w:tc>
        <w:tc>
          <w:tcPr>
            <w:tcW w:w="0" w:type="auto"/>
            <w:gridSpan w:val="6"/>
            <w:tcBorders>
              <w:bottom w:val="nil"/>
            </w:tcBorders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  <w:b/>
              </w:rPr>
              <w:t>Exit from the paid employment</w:t>
            </w:r>
          </w:p>
        </w:tc>
      </w:tr>
      <w:tr w:rsidR="00BE6B3F" w:rsidRPr="001D06C4" w:rsidTr="001F6130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6B3F" w:rsidRPr="001D06C4" w:rsidRDefault="00BE6B3F" w:rsidP="001F6130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Model 1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BE6B3F" w:rsidRPr="001D06C4" w:rsidRDefault="00BE6B3F" w:rsidP="001F6130">
            <w:pPr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Model 2</w:t>
            </w:r>
          </w:p>
        </w:tc>
      </w:tr>
      <w:tr w:rsidR="00BE6B3F" w:rsidRPr="001D06C4" w:rsidTr="001F6130"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rPr>
                <w:rFonts w:ascii="Verdana" w:hAnsi="Verdana" w:cs="Times New Roman"/>
                <w:b/>
                <w:color w:val="FF0000"/>
              </w:rPr>
            </w:pPr>
            <w:r w:rsidRPr="001D06C4">
              <w:rPr>
                <w:rFonts w:ascii="Verdana" w:hAnsi="Verdana" w:cs="Times New Roman"/>
              </w:rPr>
              <w:t>Exit for any cause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95% CI</w:t>
            </w: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  <w:b/>
              </w:rPr>
            </w:pPr>
            <w:r w:rsidRPr="001D06C4">
              <w:rPr>
                <w:rFonts w:ascii="Verdana" w:hAnsi="Verdana" w:cs="Times New Roman"/>
                <w:b/>
              </w:rPr>
              <w:t xml:space="preserve">Sensitivity analysis including those </w:t>
            </w:r>
            <w:r w:rsidRPr="001D06C4">
              <w:rPr>
                <w:rFonts w:ascii="Verdana" w:hAnsi="Verdana" w:cs="Times New Roman"/>
                <w:b/>
                <w:i/>
              </w:rPr>
              <w:t>with back pain</w:t>
            </w:r>
            <w:r w:rsidRPr="001D06C4">
              <w:rPr>
                <w:rFonts w:ascii="Verdana" w:hAnsi="Verdana" w:cs="Times New Roman"/>
                <w:b/>
              </w:rPr>
              <w:t xml:space="preserve"> at phase 7*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Exit for health reasons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1 vs. 0  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1.14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0.78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1.67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1.09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0.71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1.66</w:t>
            </w: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≥2 vs. 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  <w:bCs/>
                <w:color w:val="000000"/>
              </w:rPr>
              <w:t>1.45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1.00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808080" w:themeColor="background1" w:themeShade="80"/>
              </w:rPr>
            </w:pPr>
            <w:r w:rsidRPr="001D06C4">
              <w:rPr>
                <w:rFonts w:ascii="Verdana" w:hAnsi="Verdana" w:cs="Times New Roman"/>
              </w:rPr>
              <w:t>2.10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1.17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0.78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1.78</w:t>
            </w: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without education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Cs/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Cs/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  <w:b/>
              </w:rPr>
              <w:t xml:space="preserve">Sensitivity analysis including those </w:t>
            </w:r>
            <w:r w:rsidRPr="001D06C4">
              <w:rPr>
                <w:rFonts w:ascii="Verdana" w:hAnsi="Verdana" w:cs="Times New Roman"/>
                <w:b/>
                <w:i/>
              </w:rPr>
              <w:t>without back pain</w:t>
            </w:r>
            <w:r w:rsidRPr="001D06C4">
              <w:rPr>
                <w:rFonts w:ascii="Verdana" w:hAnsi="Verdana" w:cs="Times New Roman"/>
                <w:b/>
              </w:rPr>
              <w:t xml:space="preserve"> at phase 7*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 xml:space="preserve">1 vs. 0  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  <w:bCs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1.02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0.71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1.48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1.00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0.65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1.54</w:t>
            </w:r>
          </w:p>
        </w:tc>
      </w:tr>
      <w:tr w:rsidR="00BE6B3F" w:rsidRPr="001D06C4" w:rsidTr="001F6130">
        <w:tc>
          <w:tcPr>
            <w:tcW w:w="0" w:type="auto"/>
          </w:tcPr>
          <w:p w:rsidR="00BE6B3F" w:rsidRPr="001D06C4" w:rsidRDefault="00BE6B3F" w:rsidP="001F6130">
            <w:pPr>
              <w:rPr>
                <w:rFonts w:ascii="Verdana" w:hAnsi="Verdana" w:cs="Times New Roman"/>
              </w:rPr>
            </w:pPr>
            <w:r w:rsidRPr="001D06C4">
              <w:rPr>
                <w:rFonts w:ascii="Verdana" w:hAnsi="Verdana" w:cs="Times New Roman"/>
              </w:rPr>
              <w:t>≥2 vs. 0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  <w:bCs/>
                <w:color w:val="00000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1.66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0.97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b/>
              </w:rPr>
            </w:pPr>
            <w:r w:rsidRPr="001D06C4">
              <w:rPr>
                <w:rFonts w:ascii="Verdana" w:hAnsi="Verdana" w:cs="Times New Roman"/>
                <w:color w:val="000000"/>
              </w:rPr>
              <w:t>2.86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1.36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0.77</w:t>
            </w:r>
          </w:p>
        </w:tc>
        <w:tc>
          <w:tcPr>
            <w:tcW w:w="0" w:type="auto"/>
          </w:tcPr>
          <w:p w:rsidR="00BE6B3F" w:rsidRPr="001D06C4" w:rsidRDefault="00BE6B3F" w:rsidP="001F6130">
            <w:pPr>
              <w:jc w:val="right"/>
              <w:rPr>
                <w:rFonts w:ascii="Verdana" w:hAnsi="Verdana" w:cs="Times New Roman"/>
                <w:color w:val="7F7F7F" w:themeColor="text1" w:themeTint="80"/>
              </w:rPr>
            </w:pPr>
            <w:r w:rsidRPr="001D06C4">
              <w:rPr>
                <w:rFonts w:ascii="Verdana" w:hAnsi="Verdana" w:cs="Times New Roman"/>
                <w:color w:val="000000"/>
              </w:rPr>
              <w:t>2.41</w:t>
            </w:r>
          </w:p>
        </w:tc>
      </w:tr>
    </w:tbl>
    <w:p w:rsidR="00BE6B3F" w:rsidRPr="001D06C4" w:rsidRDefault="00BE6B3F" w:rsidP="00BE6B3F">
      <w:pPr>
        <w:spacing w:after="0" w:line="240" w:lineRule="auto"/>
        <w:rPr>
          <w:rFonts w:ascii="Verdana" w:hAnsi="Verdana" w:cs="Times New Roman"/>
        </w:rPr>
      </w:pPr>
      <w:r w:rsidRPr="001D06C4">
        <w:rPr>
          <w:rFonts w:ascii="Verdana" w:hAnsi="Verdana" w:cs="Times New Roman"/>
        </w:rPr>
        <w:t>Model 1 adjusted for sex, age, and study phase</w:t>
      </w:r>
    </w:p>
    <w:p w:rsidR="00BE6B3F" w:rsidRPr="001D06C4" w:rsidRDefault="00BE6B3F" w:rsidP="00BE6B3F">
      <w:pPr>
        <w:spacing w:after="0" w:line="240" w:lineRule="auto"/>
        <w:rPr>
          <w:rFonts w:ascii="Verdana" w:hAnsi="Verdana" w:cs="Times New Roman"/>
        </w:rPr>
      </w:pPr>
      <w:r w:rsidRPr="001D06C4">
        <w:rPr>
          <w:rFonts w:ascii="Verdana" w:hAnsi="Verdana" w:cs="Times New Roman"/>
        </w:rPr>
        <w:t xml:space="preserve">Model 2 adjusted for sex, age, study phase, occupational status, parental education, </w:t>
      </w:r>
      <w:r w:rsidR="00F92A21" w:rsidRPr="00F92A21">
        <w:rPr>
          <w:rFonts w:ascii="Verdana" w:hAnsi="Verdana" w:cs="Times New Roman"/>
          <w:color w:val="FF0000"/>
        </w:rPr>
        <w:t>body mass index</w:t>
      </w:r>
      <w:r w:rsidRPr="001D06C4">
        <w:rPr>
          <w:rFonts w:ascii="Verdana" w:hAnsi="Verdana" w:cs="Times New Roman"/>
        </w:rPr>
        <w:t xml:space="preserve">, job demands, and job control </w:t>
      </w:r>
    </w:p>
    <w:p w:rsidR="001D06C4" w:rsidRPr="001D06C4" w:rsidRDefault="001D06C4" w:rsidP="00BE6B3F">
      <w:pPr>
        <w:spacing w:after="0" w:line="240" w:lineRule="auto"/>
        <w:rPr>
          <w:rFonts w:ascii="Verdana" w:hAnsi="Verdana" w:cs="Times New Roman"/>
        </w:rPr>
      </w:pPr>
    </w:p>
    <w:p w:rsidR="001D06C4" w:rsidRPr="001D06C4" w:rsidRDefault="001D06C4">
      <w:pPr>
        <w:rPr>
          <w:rFonts w:ascii="Verdana" w:hAnsi="Verdana" w:cs="Times New Roman"/>
        </w:rPr>
      </w:pPr>
      <w:r w:rsidRPr="001D06C4">
        <w:rPr>
          <w:rFonts w:ascii="Verdana" w:hAnsi="Verdana" w:cs="Times New Roman"/>
        </w:rPr>
        <w:br w:type="page"/>
      </w:r>
    </w:p>
    <w:p w:rsidR="001D06C4" w:rsidRPr="00F03D2C" w:rsidRDefault="001D06C4" w:rsidP="001D06C4">
      <w:pPr>
        <w:rPr>
          <w:rFonts w:ascii="Verdana" w:hAnsi="Verdana"/>
          <w:color w:val="FF0000"/>
        </w:rPr>
      </w:pPr>
      <w:r w:rsidRPr="00F03D2C">
        <w:rPr>
          <w:rFonts w:ascii="Verdana" w:hAnsi="Verdana" w:cs="Times New Roman"/>
          <w:b/>
          <w:color w:val="FF0000"/>
        </w:rPr>
        <w:lastRenderedPageBreak/>
        <w:t>Table S3.</w:t>
      </w:r>
      <w:r w:rsidRPr="00F03D2C">
        <w:rPr>
          <w:rFonts w:ascii="Verdana" w:hAnsi="Verdana"/>
          <w:color w:val="FF0000"/>
        </w:rPr>
        <w:t xml:space="preserve"> Hazard ratios (95% CI) for the first exit from paid employment in relation to back pain.</w:t>
      </w:r>
    </w:p>
    <w:tbl>
      <w:tblPr>
        <w:tblStyle w:val="TableGrid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716"/>
        <w:gridCol w:w="716"/>
        <w:gridCol w:w="716"/>
        <w:gridCol w:w="716"/>
        <w:gridCol w:w="716"/>
        <w:gridCol w:w="716"/>
      </w:tblGrid>
      <w:tr w:rsidR="00F03D2C" w:rsidRPr="00F03D2C" w:rsidTr="00F01824">
        <w:trPr>
          <w:trHeight w:val="5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  <w:t>Number of phases reported back pain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  <w:t>Exit from paid employment</w:t>
            </w:r>
          </w:p>
        </w:tc>
      </w:tr>
      <w:tr w:rsidR="00F03D2C" w:rsidRPr="00F03D2C" w:rsidTr="00F0182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Model 1</w:t>
            </w:r>
            <w:r w:rsidRPr="00F03D2C">
              <w:rPr>
                <w:rFonts w:ascii="Verdana" w:eastAsiaTheme="minorEastAsia" w:hAnsi="Verdana" w:cs="Times New Roman"/>
                <w:color w:val="FF0000"/>
                <w:vertAlign w:val="superscript"/>
                <w:lang w:val="en-US" w:eastAsia="fi-FI"/>
              </w:rPr>
              <w:t>a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Model 2</w:t>
            </w:r>
            <w:r w:rsidRPr="00F03D2C">
              <w:rPr>
                <w:rFonts w:ascii="Verdana" w:eastAsiaTheme="minorEastAsia" w:hAnsi="Verdana" w:cs="Times New Roman"/>
                <w:color w:val="FF0000"/>
                <w:vertAlign w:val="superscript"/>
                <w:lang w:val="en-US" w:eastAsia="fi-FI"/>
              </w:rPr>
              <w:t>b</w:t>
            </w:r>
          </w:p>
        </w:tc>
      </w:tr>
      <w:tr w:rsidR="00F03D2C" w:rsidRPr="00F03D2C" w:rsidTr="00F01824">
        <w:tc>
          <w:tcPr>
            <w:tcW w:w="0" w:type="auto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Exit for any cause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HR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HR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95% CI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Back pain 1 vs. 0 times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1.14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Back pain ≥2 vs. 0 times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1.30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Non-health related exit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1.11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1.25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Health-related exit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1.39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1.72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1.31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1.67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2.08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2.57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1.85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1.45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2.35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Exit for unemployment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1.11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1.43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1.16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1.54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1.65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Exit for other reasons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1.13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1.43</w:t>
            </w:r>
          </w:p>
        </w:tc>
      </w:tr>
      <w:tr w:rsidR="001D06C4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0.76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0.76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1.35</w:t>
            </w:r>
          </w:p>
        </w:tc>
      </w:tr>
    </w:tbl>
    <w:p w:rsidR="001D06C4" w:rsidRPr="00F03D2C" w:rsidRDefault="001D06C4" w:rsidP="001D06C4">
      <w:pPr>
        <w:rPr>
          <w:rFonts w:ascii="Verdana" w:hAnsi="Verdana"/>
          <w:color w:val="FF0000"/>
        </w:rPr>
      </w:pPr>
    </w:p>
    <w:p w:rsidR="001D06C4" w:rsidRPr="00F03D2C" w:rsidRDefault="001D06C4" w:rsidP="00BE6B3F">
      <w:pPr>
        <w:spacing w:after="0" w:line="240" w:lineRule="auto"/>
        <w:rPr>
          <w:rFonts w:ascii="Verdana" w:hAnsi="Verdana" w:cs="Times New Roman"/>
          <w:color w:val="FF0000"/>
        </w:rPr>
      </w:pPr>
    </w:p>
    <w:p w:rsidR="001D06C4" w:rsidRPr="00F03D2C" w:rsidRDefault="001D06C4">
      <w:pPr>
        <w:rPr>
          <w:rFonts w:ascii="Verdana" w:hAnsi="Verdana" w:cs="Times New Roman"/>
          <w:color w:val="FF0000"/>
        </w:rPr>
      </w:pPr>
      <w:r w:rsidRPr="00F03D2C">
        <w:rPr>
          <w:rFonts w:ascii="Verdana" w:hAnsi="Verdana" w:cs="Times New Roman"/>
          <w:color w:val="FF0000"/>
        </w:rPr>
        <w:br w:type="page"/>
      </w:r>
    </w:p>
    <w:p w:rsidR="001D06C4" w:rsidRPr="00F03D2C" w:rsidRDefault="001D06C4" w:rsidP="001D06C4">
      <w:pPr>
        <w:rPr>
          <w:rFonts w:ascii="Verdana" w:hAnsi="Verdana"/>
          <w:color w:val="FF0000"/>
        </w:rPr>
      </w:pPr>
      <w:r w:rsidRPr="00F03D2C">
        <w:rPr>
          <w:rFonts w:ascii="Verdana" w:hAnsi="Verdana" w:cs="Times New Roman"/>
          <w:b/>
          <w:color w:val="FF0000"/>
        </w:rPr>
        <w:lastRenderedPageBreak/>
        <w:t xml:space="preserve">Table S4. </w:t>
      </w:r>
      <w:r w:rsidRPr="00F03D2C">
        <w:rPr>
          <w:rFonts w:ascii="Verdana" w:hAnsi="Verdana"/>
          <w:color w:val="FF0000"/>
        </w:rPr>
        <w:t>Hazard ratios (95% CI) for the last exit from paid employment in relation to back pain.</w:t>
      </w:r>
    </w:p>
    <w:tbl>
      <w:tblPr>
        <w:tblStyle w:val="TableGrid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716"/>
        <w:gridCol w:w="716"/>
        <w:gridCol w:w="716"/>
        <w:gridCol w:w="716"/>
        <w:gridCol w:w="716"/>
        <w:gridCol w:w="716"/>
      </w:tblGrid>
      <w:tr w:rsidR="00F03D2C" w:rsidRPr="00F03D2C" w:rsidTr="00F01824">
        <w:trPr>
          <w:trHeight w:val="5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  <w:t>Number of phases reported back pain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  <w:t>Exit from paid employment</w:t>
            </w:r>
          </w:p>
        </w:tc>
      </w:tr>
      <w:tr w:rsidR="00F03D2C" w:rsidRPr="00F03D2C" w:rsidTr="00F0182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Model 1</w:t>
            </w:r>
            <w:r w:rsidRPr="00F03D2C">
              <w:rPr>
                <w:rFonts w:ascii="Verdana" w:eastAsiaTheme="minorEastAsia" w:hAnsi="Verdana" w:cs="Times New Roman"/>
                <w:color w:val="FF0000"/>
                <w:vertAlign w:val="superscript"/>
                <w:lang w:val="en-US" w:eastAsia="fi-FI"/>
              </w:rPr>
              <w:t>a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Model 2</w:t>
            </w:r>
            <w:r w:rsidRPr="00F03D2C">
              <w:rPr>
                <w:rFonts w:ascii="Verdana" w:eastAsiaTheme="minorEastAsia" w:hAnsi="Verdana" w:cs="Times New Roman"/>
                <w:color w:val="FF0000"/>
                <w:vertAlign w:val="superscript"/>
                <w:lang w:val="en-US" w:eastAsia="fi-FI"/>
              </w:rPr>
              <w:t>b</w:t>
            </w:r>
          </w:p>
        </w:tc>
      </w:tr>
      <w:tr w:rsidR="00F03D2C" w:rsidRPr="00F03D2C" w:rsidTr="00F01824">
        <w:tc>
          <w:tcPr>
            <w:tcW w:w="0" w:type="auto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Exit for any cause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HR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HR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95% CI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Back pain 1 vs. 0 times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1.38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1.71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1.32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1.67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Back pain ≥2 vs. 0 times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1.98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1.59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2.46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1.71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2.19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Non-health related exit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1.14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1.04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1.14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Health-related exit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1.23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0.96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1.57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1.22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1.60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1.92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1.52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2.44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1.80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2.34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bCs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Exit for unemployment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0.94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0.65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0.98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0.64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1.49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1.83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1.24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0.81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1.90</w:t>
            </w: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Exit for other reasons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b/>
                <w:color w:val="FF0000"/>
                <w:lang w:val="en-US" w:eastAsia="fi-FI"/>
              </w:rPr>
            </w:pPr>
          </w:p>
        </w:tc>
      </w:tr>
      <w:tr w:rsidR="00F03D2C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 xml:space="preserve">1 vs. 0  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1.05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0.79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  <w:lang w:val="fi-FI"/>
              </w:rPr>
            </w:pPr>
            <w:r w:rsidRPr="00F03D2C">
              <w:rPr>
                <w:rFonts w:ascii="Verdana" w:hAnsi="Verdana" w:cs="Arial"/>
                <w:color w:val="FF0000"/>
              </w:rPr>
              <w:t>1.18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0.87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1.60</w:t>
            </w:r>
          </w:p>
        </w:tc>
      </w:tr>
      <w:tr w:rsidR="001D06C4" w:rsidRPr="00F03D2C" w:rsidTr="00F01824">
        <w:tc>
          <w:tcPr>
            <w:tcW w:w="0" w:type="auto"/>
          </w:tcPr>
          <w:p w:rsidR="001D06C4" w:rsidRPr="00F03D2C" w:rsidRDefault="001D06C4" w:rsidP="00F0182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FF0000"/>
                <w:lang w:val="en-US" w:eastAsia="fi-FI"/>
              </w:rPr>
            </w:pPr>
            <w:r w:rsidRPr="00F03D2C">
              <w:rPr>
                <w:rFonts w:ascii="Verdana" w:eastAsiaTheme="minorEastAsia" w:hAnsi="Verdana" w:cs="Times New Roman"/>
                <w:color w:val="FF0000"/>
                <w:lang w:val="en-US" w:eastAsia="fi-FI"/>
              </w:rPr>
              <w:t>≥2 vs. 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0.97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0.70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1.35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0.99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0.69</w:t>
            </w:r>
          </w:p>
        </w:tc>
        <w:tc>
          <w:tcPr>
            <w:tcW w:w="0" w:type="auto"/>
          </w:tcPr>
          <w:p w:rsidR="001D06C4" w:rsidRPr="00F03D2C" w:rsidRDefault="001D06C4" w:rsidP="00F01824">
            <w:pPr>
              <w:jc w:val="right"/>
              <w:rPr>
                <w:rFonts w:ascii="Verdana" w:hAnsi="Verdana" w:cs="Arial"/>
                <w:color w:val="FF0000"/>
              </w:rPr>
            </w:pPr>
            <w:r w:rsidRPr="00F03D2C">
              <w:rPr>
                <w:rFonts w:ascii="Verdana" w:hAnsi="Verdana" w:cs="Arial"/>
                <w:color w:val="FF0000"/>
              </w:rPr>
              <w:t>1.42</w:t>
            </w:r>
          </w:p>
        </w:tc>
      </w:tr>
    </w:tbl>
    <w:p w:rsidR="001D06C4" w:rsidRPr="00F03D2C" w:rsidRDefault="001D06C4" w:rsidP="001D06C4">
      <w:pPr>
        <w:rPr>
          <w:rFonts w:ascii="Verdana" w:hAnsi="Verdana"/>
          <w:color w:val="FF0000"/>
        </w:rPr>
      </w:pPr>
    </w:p>
    <w:p w:rsidR="00BE6B3F" w:rsidRPr="00F03D2C" w:rsidRDefault="00BE6B3F" w:rsidP="00BE6B3F">
      <w:pPr>
        <w:rPr>
          <w:rFonts w:ascii="Verdana" w:hAnsi="Verdana" w:cs="Times New Roman"/>
          <w:b/>
          <w:color w:val="FF0000"/>
        </w:rPr>
      </w:pPr>
    </w:p>
    <w:p w:rsidR="00BE6B3F" w:rsidRPr="00F03D2C" w:rsidRDefault="00BE6B3F" w:rsidP="00BE6B3F">
      <w:pPr>
        <w:pStyle w:val="NormalWeb"/>
        <w:rPr>
          <w:rFonts w:ascii="Verdana" w:hAnsi="Verdana"/>
          <w:color w:val="FF0000"/>
          <w:sz w:val="22"/>
          <w:szCs w:val="22"/>
          <w:lang w:val="en-GB"/>
        </w:rPr>
      </w:pPr>
    </w:p>
    <w:p w:rsidR="00ED2461" w:rsidRPr="001D06C4" w:rsidRDefault="00ED2461">
      <w:pPr>
        <w:rPr>
          <w:rFonts w:ascii="Verdana" w:hAnsi="Verdana"/>
        </w:rPr>
      </w:pPr>
    </w:p>
    <w:sectPr w:rsidR="00ED2461" w:rsidRPr="001D0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3F"/>
    <w:rsid w:val="00011DA8"/>
    <w:rsid w:val="00015A6D"/>
    <w:rsid w:val="00017CA4"/>
    <w:rsid w:val="000202C0"/>
    <w:rsid w:val="000413DB"/>
    <w:rsid w:val="00043068"/>
    <w:rsid w:val="0006366A"/>
    <w:rsid w:val="000713B6"/>
    <w:rsid w:val="00077640"/>
    <w:rsid w:val="000875D3"/>
    <w:rsid w:val="00090190"/>
    <w:rsid w:val="000914E9"/>
    <w:rsid w:val="0009519F"/>
    <w:rsid w:val="00097108"/>
    <w:rsid w:val="000C6E08"/>
    <w:rsid w:val="000D15EC"/>
    <w:rsid w:val="000E4F17"/>
    <w:rsid w:val="000E4FEA"/>
    <w:rsid w:val="000F186B"/>
    <w:rsid w:val="000F45B0"/>
    <w:rsid w:val="00110AE4"/>
    <w:rsid w:val="001124C9"/>
    <w:rsid w:val="0016099F"/>
    <w:rsid w:val="001914EB"/>
    <w:rsid w:val="001D06C4"/>
    <w:rsid w:val="001D266F"/>
    <w:rsid w:val="001D7868"/>
    <w:rsid w:val="00205679"/>
    <w:rsid w:val="00231891"/>
    <w:rsid w:val="002429D7"/>
    <w:rsid w:val="00242A5A"/>
    <w:rsid w:val="002552BA"/>
    <w:rsid w:val="002764E0"/>
    <w:rsid w:val="00276ECE"/>
    <w:rsid w:val="002819EE"/>
    <w:rsid w:val="00290DBC"/>
    <w:rsid w:val="00292742"/>
    <w:rsid w:val="002A41FD"/>
    <w:rsid w:val="002B7E8E"/>
    <w:rsid w:val="002C4E77"/>
    <w:rsid w:val="002E1863"/>
    <w:rsid w:val="002F17E8"/>
    <w:rsid w:val="003057D8"/>
    <w:rsid w:val="00317413"/>
    <w:rsid w:val="00324232"/>
    <w:rsid w:val="00330DEE"/>
    <w:rsid w:val="003314A0"/>
    <w:rsid w:val="00332EA7"/>
    <w:rsid w:val="00332F33"/>
    <w:rsid w:val="00341B35"/>
    <w:rsid w:val="003617CD"/>
    <w:rsid w:val="003A03D5"/>
    <w:rsid w:val="003A0558"/>
    <w:rsid w:val="003A067D"/>
    <w:rsid w:val="003A2AB3"/>
    <w:rsid w:val="003B394F"/>
    <w:rsid w:val="00400C05"/>
    <w:rsid w:val="00402367"/>
    <w:rsid w:val="00405E92"/>
    <w:rsid w:val="00421B63"/>
    <w:rsid w:val="00425C27"/>
    <w:rsid w:val="00430A67"/>
    <w:rsid w:val="004322FF"/>
    <w:rsid w:val="00434C12"/>
    <w:rsid w:val="00446B65"/>
    <w:rsid w:val="0045221C"/>
    <w:rsid w:val="00454662"/>
    <w:rsid w:val="00457001"/>
    <w:rsid w:val="004715D4"/>
    <w:rsid w:val="0048295E"/>
    <w:rsid w:val="00494231"/>
    <w:rsid w:val="004A40C0"/>
    <w:rsid w:val="004C5CA1"/>
    <w:rsid w:val="004D36EF"/>
    <w:rsid w:val="004F61BD"/>
    <w:rsid w:val="00507371"/>
    <w:rsid w:val="0051046E"/>
    <w:rsid w:val="00516278"/>
    <w:rsid w:val="0051740C"/>
    <w:rsid w:val="00517491"/>
    <w:rsid w:val="00523521"/>
    <w:rsid w:val="00525B18"/>
    <w:rsid w:val="00555360"/>
    <w:rsid w:val="0056602E"/>
    <w:rsid w:val="005731EB"/>
    <w:rsid w:val="00577625"/>
    <w:rsid w:val="0058382A"/>
    <w:rsid w:val="0058451A"/>
    <w:rsid w:val="00591A80"/>
    <w:rsid w:val="005A6D07"/>
    <w:rsid w:val="005C304D"/>
    <w:rsid w:val="005C626A"/>
    <w:rsid w:val="005D364F"/>
    <w:rsid w:val="005D4BF7"/>
    <w:rsid w:val="005E1260"/>
    <w:rsid w:val="005E2027"/>
    <w:rsid w:val="005F1AAE"/>
    <w:rsid w:val="005F300A"/>
    <w:rsid w:val="0060365F"/>
    <w:rsid w:val="00606E0F"/>
    <w:rsid w:val="00612221"/>
    <w:rsid w:val="00621221"/>
    <w:rsid w:val="0062470A"/>
    <w:rsid w:val="00624E38"/>
    <w:rsid w:val="006250A9"/>
    <w:rsid w:val="0062571D"/>
    <w:rsid w:val="00631BD6"/>
    <w:rsid w:val="006359A9"/>
    <w:rsid w:val="00644073"/>
    <w:rsid w:val="00645111"/>
    <w:rsid w:val="00664013"/>
    <w:rsid w:val="00667858"/>
    <w:rsid w:val="006838A1"/>
    <w:rsid w:val="006842C4"/>
    <w:rsid w:val="00686A9F"/>
    <w:rsid w:val="006905E5"/>
    <w:rsid w:val="00695752"/>
    <w:rsid w:val="0069697A"/>
    <w:rsid w:val="00696E1B"/>
    <w:rsid w:val="006A10A8"/>
    <w:rsid w:val="006A61DA"/>
    <w:rsid w:val="006B4BBE"/>
    <w:rsid w:val="006C188E"/>
    <w:rsid w:val="006C727F"/>
    <w:rsid w:val="006C7E06"/>
    <w:rsid w:val="006E6C34"/>
    <w:rsid w:val="00706E5D"/>
    <w:rsid w:val="0072449A"/>
    <w:rsid w:val="007249F6"/>
    <w:rsid w:val="0072682A"/>
    <w:rsid w:val="0072685A"/>
    <w:rsid w:val="00732D22"/>
    <w:rsid w:val="00742039"/>
    <w:rsid w:val="007505BD"/>
    <w:rsid w:val="00751172"/>
    <w:rsid w:val="007567C1"/>
    <w:rsid w:val="0076279F"/>
    <w:rsid w:val="00772BAA"/>
    <w:rsid w:val="007968F8"/>
    <w:rsid w:val="007969AC"/>
    <w:rsid w:val="007A1FB4"/>
    <w:rsid w:val="007B0326"/>
    <w:rsid w:val="007B778B"/>
    <w:rsid w:val="007C7C7E"/>
    <w:rsid w:val="007D4AEC"/>
    <w:rsid w:val="007D4F9A"/>
    <w:rsid w:val="007D5213"/>
    <w:rsid w:val="007E3AFF"/>
    <w:rsid w:val="007E71F9"/>
    <w:rsid w:val="0081407F"/>
    <w:rsid w:val="0081418F"/>
    <w:rsid w:val="008154B3"/>
    <w:rsid w:val="008549E9"/>
    <w:rsid w:val="00864B89"/>
    <w:rsid w:val="0087050B"/>
    <w:rsid w:val="00873885"/>
    <w:rsid w:val="00884174"/>
    <w:rsid w:val="008849C1"/>
    <w:rsid w:val="008A10A5"/>
    <w:rsid w:val="008A1E14"/>
    <w:rsid w:val="008A54E4"/>
    <w:rsid w:val="008B71B4"/>
    <w:rsid w:val="008D17AA"/>
    <w:rsid w:val="008E1218"/>
    <w:rsid w:val="008E6650"/>
    <w:rsid w:val="008F1042"/>
    <w:rsid w:val="00903EDE"/>
    <w:rsid w:val="0091266D"/>
    <w:rsid w:val="009219ED"/>
    <w:rsid w:val="00922D17"/>
    <w:rsid w:val="00923689"/>
    <w:rsid w:val="009332D4"/>
    <w:rsid w:val="00945CC9"/>
    <w:rsid w:val="00952353"/>
    <w:rsid w:val="00953D18"/>
    <w:rsid w:val="00971738"/>
    <w:rsid w:val="00977E4D"/>
    <w:rsid w:val="0098046D"/>
    <w:rsid w:val="0099053F"/>
    <w:rsid w:val="009D1531"/>
    <w:rsid w:val="009F34EB"/>
    <w:rsid w:val="009F63F3"/>
    <w:rsid w:val="00A01388"/>
    <w:rsid w:val="00A016BE"/>
    <w:rsid w:val="00A15819"/>
    <w:rsid w:val="00A203E5"/>
    <w:rsid w:val="00A25578"/>
    <w:rsid w:val="00A35268"/>
    <w:rsid w:val="00A44E2F"/>
    <w:rsid w:val="00A504D3"/>
    <w:rsid w:val="00A64696"/>
    <w:rsid w:val="00A71CF2"/>
    <w:rsid w:val="00A861AF"/>
    <w:rsid w:val="00A94263"/>
    <w:rsid w:val="00AB490E"/>
    <w:rsid w:val="00AC7CA2"/>
    <w:rsid w:val="00AE13CF"/>
    <w:rsid w:val="00AE2626"/>
    <w:rsid w:val="00AF6371"/>
    <w:rsid w:val="00AF7F2F"/>
    <w:rsid w:val="00B02652"/>
    <w:rsid w:val="00B11A47"/>
    <w:rsid w:val="00B13570"/>
    <w:rsid w:val="00B14CDB"/>
    <w:rsid w:val="00B174AE"/>
    <w:rsid w:val="00B2494D"/>
    <w:rsid w:val="00B25C6A"/>
    <w:rsid w:val="00B52729"/>
    <w:rsid w:val="00B61F35"/>
    <w:rsid w:val="00B637B4"/>
    <w:rsid w:val="00B97453"/>
    <w:rsid w:val="00BA3913"/>
    <w:rsid w:val="00BA3F51"/>
    <w:rsid w:val="00BA7237"/>
    <w:rsid w:val="00BB2671"/>
    <w:rsid w:val="00BB6AD6"/>
    <w:rsid w:val="00BC1BD8"/>
    <w:rsid w:val="00BE1169"/>
    <w:rsid w:val="00BE6B3F"/>
    <w:rsid w:val="00C104D3"/>
    <w:rsid w:val="00C22773"/>
    <w:rsid w:val="00C24E85"/>
    <w:rsid w:val="00C31CFE"/>
    <w:rsid w:val="00C34FB9"/>
    <w:rsid w:val="00C4078E"/>
    <w:rsid w:val="00C47C08"/>
    <w:rsid w:val="00C51C2C"/>
    <w:rsid w:val="00C60FCB"/>
    <w:rsid w:val="00C6112A"/>
    <w:rsid w:val="00C6149E"/>
    <w:rsid w:val="00C66D04"/>
    <w:rsid w:val="00C717E8"/>
    <w:rsid w:val="00C7447E"/>
    <w:rsid w:val="00C7711D"/>
    <w:rsid w:val="00C85C54"/>
    <w:rsid w:val="00C85D1F"/>
    <w:rsid w:val="00C9346D"/>
    <w:rsid w:val="00C94597"/>
    <w:rsid w:val="00CB4CDF"/>
    <w:rsid w:val="00CE2E80"/>
    <w:rsid w:val="00CF4C5C"/>
    <w:rsid w:val="00D16AA0"/>
    <w:rsid w:val="00D23033"/>
    <w:rsid w:val="00D24202"/>
    <w:rsid w:val="00D2513C"/>
    <w:rsid w:val="00D26B18"/>
    <w:rsid w:val="00D37763"/>
    <w:rsid w:val="00D4107E"/>
    <w:rsid w:val="00D62D32"/>
    <w:rsid w:val="00D74B04"/>
    <w:rsid w:val="00D76425"/>
    <w:rsid w:val="00D87770"/>
    <w:rsid w:val="00D9394A"/>
    <w:rsid w:val="00DA168D"/>
    <w:rsid w:val="00DB4EAF"/>
    <w:rsid w:val="00DD62CE"/>
    <w:rsid w:val="00DD6F5D"/>
    <w:rsid w:val="00DE13FE"/>
    <w:rsid w:val="00DF73DD"/>
    <w:rsid w:val="00E0340E"/>
    <w:rsid w:val="00E065C6"/>
    <w:rsid w:val="00E165C8"/>
    <w:rsid w:val="00E445B2"/>
    <w:rsid w:val="00E46FA5"/>
    <w:rsid w:val="00E55B21"/>
    <w:rsid w:val="00E61C90"/>
    <w:rsid w:val="00E77A3A"/>
    <w:rsid w:val="00EA0CFE"/>
    <w:rsid w:val="00EB394C"/>
    <w:rsid w:val="00EC0E15"/>
    <w:rsid w:val="00EC1586"/>
    <w:rsid w:val="00ED1027"/>
    <w:rsid w:val="00ED16BC"/>
    <w:rsid w:val="00ED2461"/>
    <w:rsid w:val="00ED57F9"/>
    <w:rsid w:val="00ED5E63"/>
    <w:rsid w:val="00EE4F28"/>
    <w:rsid w:val="00F0292D"/>
    <w:rsid w:val="00F03D2C"/>
    <w:rsid w:val="00F0652A"/>
    <w:rsid w:val="00F140BB"/>
    <w:rsid w:val="00F14AA4"/>
    <w:rsid w:val="00F15FC7"/>
    <w:rsid w:val="00F21B95"/>
    <w:rsid w:val="00F31C30"/>
    <w:rsid w:val="00F52956"/>
    <w:rsid w:val="00F550B0"/>
    <w:rsid w:val="00F5533E"/>
    <w:rsid w:val="00F61205"/>
    <w:rsid w:val="00F64B91"/>
    <w:rsid w:val="00F64C1D"/>
    <w:rsid w:val="00F6654D"/>
    <w:rsid w:val="00F73404"/>
    <w:rsid w:val="00F741A0"/>
    <w:rsid w:val="00F92080"/>
    <w:rsid w:val="00F92A21"/>
    <w:rsid w:val="00F93460"/>
    <w:rsid w:val="00F95099"/>
    <w:rsid w:val="00FB5C1F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E96FE-C150-4997-933F-47A9F92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B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6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i-FI" w:eastAsia="fi-FI"/>
    </w:rPr>
  </w:style>
  <w:style w:type="paragraph" w:styleId="NoSpacing">
    <w:name w:val="No Spacing"/>
    <w:uiPriority w:val="1"/>
    <w:qFormat/>
    <w:rsid w:val="00BE6B3F"/>
    <w:pPr>
      <w:spacing w:after="0" w:line="240" w:lineRule="auto"/>
    </w:pPr>
    <w:rPr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1D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Institute of Occupational Health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Lallukka Tea</dc:creator>
  <cp:keywords/>
  <dc:description/>
  <cp:lastModifiedBy>Lallukka Tea</cp:lastModifiedBy>
  <cp:revision>3</cp:revision>
  <dcterms:created xsi:type="dcterms:W3CDTF">2018-08-09T12:38:00Z</dcterms:created>
  <dcterms:modified xsi:type="dcterms:W3CDTF">2018-08-09T12:48:00Z</dcterms:modified>
</cp:coreProperties>
</file>